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信阳师范学院党建专项评估材料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规范指南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档案盒要求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（每个单位档案盒大小颜色保持统一）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1.尺寸大小：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24(长)×32cm(宽)×5.5cm(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  <w:t>厚度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2.颜色要求：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蓝色或蓝灰色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3.目录格式要求：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（如图所示）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946140" cy="6213475"/>
            <wp:effectExtent l="0" t="0" r="16510" b="15875"/>
            <wp:docPr id="4" name="图片 4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6140" cy="621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材料目录放置于档案盒里评估实证材料首页，并用燕尾夹左侧固定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二、档案盒标签要求</w:t>
      </w:r>
    </w:p>
    <w:p>
      <w:pPr>
        <w:numPr>
          <w:ilvl w:val="0"/>
          <w:numId w:val="0"/>
        </w:numPr>
        <w:ind w:firstLine="321" w:firstLineChars="1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1.尺寸要求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正面标签长方形，文字横排；侧面标签长条形，文字竖排；白底红字；标签大小根据档案盒实际尺寸大小。</w:t>
      </w:r>
    </w:p>
    <w:p>
      <w:pPr>
        <w:numPr>
          <w:ilvl w:val="0"/>
          <w:numId w:val="0"/>
        </w:numPr>
        <w:ind w:firstLine="321" w:firstLineChars="1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2.正面标签内容要求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42545</wp:posOffset>
            </wp:positionV>
            <wp:extent cx="172720" cy="184150"/>
            <wp:effectExtent l="0" t="0" r="17780" b="6350"/>
            <wp:wrapNone/>
            <wp:docPr id="1" name="图片 1" descr="党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党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第1行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：红色党徽  居中对齐；</w:t>
      </w:r>
    </w:p>
    <w:p>
      <w:pPr>
        <w:ind w:left="319" w:leftChars="152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第2行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信阳师范学院党组织建设专项评估材料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”方正小标宋简体（字号大小根据标签尺寸而定，一行显示）</w:t>
      </w:r>
    </w:p>
    <w:p>
      <w:pPr>
        <w:numPr>
          <w:ilvl w:val="0"/>
          <w:numId w:val="0"/>
        </w:numPr>
        <w:ind w:left="319" w:leftChars="152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第3行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序号+二级标题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，”黑体字体（字号大小根据标签尺寸而定，必须一行显示）</w:t>
      </w:r>
    </w:p>
    <w:p>
      <w:pPr>
        <w:numPr>
          <w:ilvl w:val="0"/>
          <w:numId w:val="0"/>
        </w:numPr>
        <w:ind w:firstLine="321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第4行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：“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总第01盒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”楷体_GB2312字体</w:t>
      </w:r>
    </w:p>
    <w:p>
      <w:pPr>
        <w:numPr>
          <w:ilvl w:val="0"/>
          <w:numId w:val="0"/>
        </w:numPr>
        <w:ind w:firstLine="321" w:firstLineChars="1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3.侧面标签内容要求</w:t>
      </w:r>
    </w:p>
    <w:p>
      <w:pPr>
        <w:numPr>
          <w:ilvl w:val="0"/>
          <w:numId w:val="0"/>
        </w:numPr>
        <w:ind w:firstLine="321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第1行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：红色党徽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72720" cy="184150"/>
            <wp:effectExtent l="0" t="0" r="17780" b="6350"/>
            <wp:docPr id="3" name="图片 3" descr="党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党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居中对齐；</w:t>
      </w:r>
    </w:p>
    <w:p>
      <w:pPr>
        <w:ind w:left="319" w:leftChars="152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第2-3行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信阳师范学院党组织建设”+“专项评估材料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”前者在第2行，后者在第3行，方正小标宋简体（字号大小根据标签尺寸而定）</w:t>
      </w:r>
    </w:p>
    <w:p>
      <w:pPr>
        <w:numPr>
          <w:ilvl w:val="0"/>
          <w:numId w:val="0"/>
        </w:numPr>
        <w:ind w:left="319" w:leftChars="152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第4行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序号+二级标题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，”序号在第4行，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二级标题单列竖排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，黑体字体（字号大小根据标签尺寸而定）</w:t>
      </w:r>
    </w:p>
    <w:p>
      <w:pPr>
        <w:numPr>
          <w:ilvl w:val="0"/>
          <w:numId w:val="0"/>
        </w:numPr>
        <w:ind w:firstLine="321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第5行：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总第01盒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”楷体_GB2312字体</w:t>
      </w:r>
    </w:p>
    <w:p>
      <w:pPr>
        <w:numPr>
          <w:ilvl w:val="0"/>
          <w:numId w:val="0"/>
        </w:numPr>
        <w:ind w:firstLine="321" w:firstLineChars="1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4.具体样式图片参考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2907030</wp:posOffset>
            </wp:positionH>
            <wp:positionV relativeFrom="paragraph">
              <wp:posOffset>-341630</wp:posOffset>
            </wp:positionV>
            <wp:extent cx="959485" cy="2496185"/>
            <wp:effectExtent l="12700" t="0" r="18415" b="24765"/>
            <wp:wrapNone/>
            <wp:docPr id="6" name="图片 6" descr="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249618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587375</wp:posOffset>
            </wp:positionH>
            <wp:positionV relativeFrom="paragraph">
              <wp:posOffset>233680</wp:posOffset>
            </wp:positionV>
            <wp:extent cx="1604010" cy="867410"/>
            <wp:effectExtent l="12700" t="12700" r="21590" b="15240"/>
            <wp:wrapNone/>
            <wp:docPr id="2" name="图片 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86741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三、材料格式要求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（包含电子版及纸质版）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1.纸张大小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A4（20.9cm</w:t>
      </w:r>
      <w:r>
        <w:rPr>
          <w:rFonts w:hint="default" w:ascii="Arial" w:hAnsi="Arial" w:eastAsia="仿宋_GB2312" w:cs="Arial"/>
          <w:b w:val="0"/>
          <w:bCs w:val="0"/>
          <w:sz w:val="28"/>
          <w:szCs w:val="28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29.6cm）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2.页边距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上：3.5cm;  下：2.8cm;  左：2.8cm;  右：2.8cm;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3.字体要求</w:t>
      </w:r>
    </w:p>
    <w:p>
      <w:pPr>
        <w:numPr>
          <w:ilvl w:val="0"/>
          <w:numId w:val="0"/>
        </w:numPr>
        <w:ind w:firstLine="321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题目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：二号方正小标宋简体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一级标题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：三号黑体</w:t>
      </w:r>
    </w:p>
    <w:p>
      <w:pPr>
        <w:pStyle w:val="2"/>
        <w:ind w:firstLine="964" w:firstLineChars="3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二级标题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三号楷体_GB2312加粗</w:t>
      </w:r>
    </w:p>
    <w:p>
      <w:pPr>
        <w:pStyle w:val="2"/>
        <w:ind w:firstLine="1285" w:firstLineChars="4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三级标题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三号仿宋_GB2312加粗</w:t>
      </w:r>
    </w:p>
    <w:p>
      <w:pPr>
        <w:numPr>
          <w:ilvl w:val="0"/>
          <w:numId w:val="0"/>
        </w:numPr>
        <w:ind w:firstLine="1606" w:firstLineChars="5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正文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三号仿宋_GB2312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4.段落要求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特殊格式：首行缩进2字符</w:t>
      </w:r>
    </w:p>
    <w:p>
      <w:pPr>
        <w:numPr>
          <w:ilvl w:val="0"/>
          <w:numId w:val="0"/>
        </w:numPr>
        <w:ind w:left="1279" w:leftChars="152" w:hanging="960" w:hangingChars="3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间距：除正文开头段前空1行外，其余段落均为段前、段后均为0行。</w:t>
      </w:r>
    </w:p>
    <w:p>
      <w:pPr>
        <w:numPr>
          <w:ilvl w:val="0"/>
          <w:numId w:val="0"/>
        </w:numPr>
        <w:ind w:left="1279" w:leftChars="152" w:hanging="960" w:hangingChars="3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行距：固定值设置为30磅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四、其他注意事项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1.评估材料涉及所有表格参考2017年党建评估组织部门统一制定的表格，填写过程中原则上不得擅自调整表格原始格式。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2.评估材料中涉及相关数据要与事实、档案记录对应一致，不得有自相矛盾或不切实际的现象。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3.评估材料中语言措辞要规范得体，报告、总结等文字材料要严格使用公文语言和行为习惯，标题、抬头、结尾、落款单位、日期等都必须完整。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4.评估材料中的图片或截图要真实准确、清晰明亮，能够恰当反映相关内容和主题。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5.评估材料中各学院要认真挑选组织发展材料10份备查，组织材料（其中，正式党员、预备党员各5份，均为2017年至今发展备查或转正材料），这些发展材料必须一审再审，一查再查，确保不出现任何问题。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6.会议记录格式必须完整，包括：会议名称、时间、地点、参加人、缺席人、主持人、会议内容等信息。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7.所有评估材料要严格按照规范整理建档，如遇到“无此类情况”，需附情况说明。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五、工作要求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1.各分党委（党总支、直属党支部）要针对党建评估考核要点，认真组织相关人员开展培训，扎实做好访谈等环节的各项应对工作。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2.全体党员要进一步增强党员意识，评估期间，主动佩戴党员标志，主动接受评议监督。参与访谈的党员师生要热情接受专家组成员的专项访谈，积极配合评估专家开展工作。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3.评估期间，严格师生请销假制度，认真履行师生请销假备案手续，党务工作人员要保持通讯畅通。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中共信阳师范学院委员会组织部</w:t>
      </w:r>
    </w:p>
    <w:p>
      <w:pPr>
        <w:numPr>
          <w:ilvl w:val="0"/>
          <w:numId w:val="0"/>
        </w:numPr>
        <w:wordWrap w:val="0"/>
        <w:jc w:val="righ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2018年9月19日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2475230</wp:posOffset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4.9pt;margin-top:-5.2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kytwJ2QAAAAsBAAAPAAAA&#10;AAAAAAEAIAAAACIAAABkcnMvZG93bnJldi54bWxQSwECFAAUAAAACACHTuJAXtCZFRQCAAATBAAA&#10;DgAAAAAAAAABACAAAAAo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0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0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0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0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0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0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17CD"/>
    <w:multiLevelType w:val="singleLevel"/>
    <w:tmpl w:val="06D217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63F68"/>
    <w:rsid w:val="029C7366"/>
    <w:rsid w:val="04924D20"/>
    <w:rsid w:val="054F6CEF"/>
    <w:rsid w:val="071A1844"/>
    <w:rsid w:val="08500722"/>
    <w:rsid w:val="0889002D"/>
    <w:rsid w:val="089A2A97"/>
    <w:rsid w:val="0A587420"/>
    <w:rsid w:val="0AF401DB"/>
    <w:rsid w:val="0C4A4CA6"/>
    <w:rsid w:val="0C891DB6"/>
    <w:rsid w:val="0D3F6C18"/>
    <w:rsid w:val="0D46414C"/>
    <w:rsid w:val="0D781349"/>
    <w:rsid w:val="0D850CA4"/>
    <w:rsid w:val="0E221B8A"/>
    <w:rsid w:val="0E4869B4"/>
    <w:rsid w:val="0F851DB1"/>
    <w:rsid w:val="1159725C"/>
    <w:rsid w:val="131A29EC"/>
    <w:rsid w:val="13A50C7B"/>
    <w:rsid w:val="13D478E7"/>
    <w:rsid w:val="15655A76"/>
    <w:rsid w:val="15A47861"/>
    <w:rsid w:val="171E5C9F"/>
    <w:rsid w:val="17355664"/>
    <w:rsid w:val="174E6AEE"/>
    <w:rsid w:val="18023291"/>
    <w:rsid w:val="1E27000A"/>
    <w:rsid w:val="1F4B3E92"/>
    <w:rsid w:val="1F9A7B93"/>
    <w:rsid w:val="1FAD1CA5"/>
    <w:rsid w:val="1FD76BA0"/>
    <w:rsid w:val="217A6BE9"/>
    <w:rsid w:val="247B4A70"/>
    <w:rsid w:val="24AC6928"/>
    <w:rsid w:val="24B64A78"/>
    <w:rsid w:val="25244674"/>
    <w:rsid w:val="257005DB"/>
    <w:rsid w:val="25C0333D"/>
    <w:rsid w:val="261A5513"/>
    <w:rsid w:val="2A1044B2"/>
    <w:rsid w:val="2B1C455F"/>
    <w:rsid w:val="2B9E22F3"/>
    <w:rsid w:val="2C030B90"/>
    <w:rsid w:val="2D1D29F0"/>
    <w:rsid w:val="2E0147DE"/>
    <w:rsid w:val="2E343482"/>
    <w:rsid w:val="2E694E3C"/>
    <w:rsid w:val="2EB35100"/>
    <w:rsid w:val="30D44B6B"/>
    <w:rsid w:val="31436B68"/>
    <w:rsid w:val="331E16E2"/>
    <w:rsid w:val="34D315D0"/>
    <w:rsid w:val="34D57D72"/>
    <w:rsid w:val="35967904"/>
    <w:rsid w:val="36A1235A"/>
    <w:rsid w:val="36A76E1C"/>
    <w:rsid w:val="36CA749C"/>
    <w:rsid w:val="3A3416CB"/>
    <w:rsid w:val="3D7E3A7B"/>
    <w:rsid w:val="3DDB7666"/>
    <w:rsid w:val="3F393755"/>
    <w:rsid w:val="3F7664E5"/>
    <w:rsid w:val="407A1025"/>
    <w:rsid w:val="426411D1"/>
    <w:rsid w:val="440340AE"/>
    <w:rsid w:val="46CA203C"/>
    <w:rsid w:val="49A448BC"/>
    <w:rsid w:val="4A672E33"/>
    <w:rsid w:val="4A9E053F"/>
    <w:rsid w:val="4B07691A"/>
    <w:rsid w:val="4B3C2762"/>
    <w:rsid w:val="500612D0"/>
    <w:rsid w:val="50113D24"/>
    <w:rsid w:val="50C05294"/>
    <w:rsid w:val="511A2DC1"/>
    <w:rsid w:val="53886C28"/>
    <w:rsid w:val="539D03F2"/>
    <w:rsid w:val="54B066E7"/>
    <w:rsid w:val="555248A0"/>
    <w:rsid w:val="555A7A23"/>
    <w:rsid w:val="56591FEC"/>
    <w:rsid w:val="57B37126"/>
    <w:rsid w:val="5B9D4DC6"/>
    <w:rsid w:val="5C1B14E7"/>
    <w:rsid w:val="5CB31B4D"/>
    <w:rsid w:val="5D823224"/>
    <w:rsid w:val="5DAC0FF3"/>
    <w:rsid w:val="5F6C3DE3"/>
    <w:rsid w:val="5FFE2C96"/>
    <w:rsid w:val="6272768F"/>
    <w:rsid w:val="62EB7E5B"/>
    <w:rsid w:val="637278D8"/>
    <w:rsid w:val="681A655C"/>
    <w:rsid w:val="68965218"/>
    <w:rsid w:val="698D0196"/>
    <w:rsid w:val="69DA0F0D"/>
    <w:rsid w:val="6A57720C"/>
    <w:rsid w:val="6E822E16"/>
    <w:rsid w:val="70043572"/>
    <w:rsid w:val="72484912"/>
    <w:rsid w:val="729142D8"/>
    <w:rsid w:val="74A74FEF"/>
    <w:rsid w:val="74F135B2"/>
    <w:rsid w:val="753019ED"/>
    <w:rsid w:val="75C14C34"/>
    <w:rsid w:val="76313118"/>
    <w:rsid w:val="76DA0EC6"/>
    <w:rsid w:val="77BA76EE"/>
    <w:rsid w:val="78051D49"/>
    <w:rsid w:val="781B57D6"/>
    <w:rsid w:val="79D31842"/>
    <w:rsid w:val="7A4B266C"/>
    <w:rsid w:val="7B816B3A"/>
    <w:rsid w:val="7D6444EA"/>
    <w:rsid w:val="7EED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冀鹏</cp:lastModifiedBy>
  <dcterms:modified xsi:type="dcterms:W3CDTF">2018-09-25T11:11:57Z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